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Vocab Unit 10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Accrue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grow or accumulate over time; to happen as a natural result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Annotation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a critical or explanatory note or comment, especially for a literary work.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Bedlam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a state or scene of uproar and confusion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Covert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hidden, disguised, purposefully kept secret; sheltered, secluded; n. a sheltered place, a hiding place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Debonair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pleasant, courteous, lighthearted; smooth and polished in manner and appearance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Efficacious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effective, producing results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Equanimity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calmness, composure, refusal to panic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Fortuitous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accidental, occurring by a happy chance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Gist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the essential part, main point, or essence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Gratuitous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freely given; not called for by circumstances, unwarrented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Invective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n. a strong denunciation or condemnation; abusive language; adj. abusive, vituperative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Motley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showing great variety; composed of different elements or many colors; n. a jester’s costume; a jester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Munificent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extremely generous, lavish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Procrastinate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v. to delay, put off until later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Sedentary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adj. characterized by or calling for continued sitting; remaining in one place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