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Vocab Activities Unit 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I: Fill in the blank: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Competing teams consider my daughter the ____________________ of the soccer field.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If you ______________________ pennies from the cash drawer, you are unlikely, after a while, to be satisfied with only pennies.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Many political prisoners were freed under the __________________________ granted by the new regime.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ring must have slid off my finger as I was trying to ________________ the fish from the net.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He did more work, so a sixty-forty split of the profits seemed an _____________________ arrangement.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It seems as if even the smoothest-running organizations contain one or two ____________________ elements.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cute new puppy had a ________________________ effect on her health.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They will ____________________ results of the election across the Internet and every television set in the land.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Even after the thirteen colonies gained ________________________ from England, many Americans clung to English traditions.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well known Latin phrase “_________________________ emptor” means “let the buyer be ware.”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Many religions follow the ________________________ that it is important to treat others as you, yourself, would like to be treated.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My sister announced in a severe and _________________ tone of voice that we were out of cookies.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While critics called the movie ____________________________, I though the performers were very compelling.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His bad mood was _________________________, and by the time he’d finished his breakfast, he was smiling.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Travelers may find overseas people _________________________ in some ways, but surprisingly free in others.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IIA: Synonyms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Guided by stern principles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 doleful atmosphere during the service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 warning regarding possible difficulties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Pardon for the former rebels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Working toward a reasonable treaty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Disengage the cat from the tree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To purloin some coins from petty cash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 argumentative, refractory congress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Ephemeral as a rainbow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Flog the oxen unmercifully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 insipid little five-note tune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IIB: Antonyms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Subjection of the small nation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indulgent grandmother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To conceal the famous trademark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III: Circle the word that best completes the sentence.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How easy it is for a nation to become trapped in an inflationary price rise; how difficult to (blazon, extricate) itself form the upward spiral!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Instead of brooding about past wrongs, I suggest that you declare a personal (amnesty, caveat) and start thinking about the future.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 intend to be guided by the simple (scourges, precepts) that have proven their value over long periods of human experience.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Unabridged dictionaries often alert the reader to common mistakes in the use of a word by including brief (caveats, scourges).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ghost of Hamlet’s father whispered in (sepulchral, salutary) tones the story of his tragic death.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Appointed by the Governor to be Commissioner of Investigations, she soon became the (scourge, autonomy) of dishonest and incompetent officials.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Some sadly misguided individuals seem to go through life trying to (filch, blazon) petty advantages from everyone they encounter.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Arriving at (equitable, fractious) arrangements in human affairs often requires sound judgment, as well as good intentions.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The Judeo-Christian tradition teaches that material things are (transient, fractious), while spiritual values are eternal.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Young people, tired of being controlled by their parents, teachers, and others, often have strong imposes to gain (amnesty, autonomy).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In spite of the tremendous sales of that novel, I found it to be mediocre and (vapid, salutary) in every respect.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